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41735" w14:textId="77777777" w:rsidR="00574132" w:rsidRPr="00574132" w:rsidRDefault="00574132" w:rsidP="00574132">
      <w:pPr>
        <w:widowControl/>
        <w:spacing w:before="100" w:beforeAutospacing="1" w:after="100" w:afterAutospacing="1"/>
        <w:rPr>
          <w:rFonts w:ascii="微軟正黑體" w:eastAsia="微軟正黑體" w:hAnsi="微軟正黑體" w:cs="新細明體"/>
          <w:b/>
          <w:bCs/>
          <w:kern w:val="0"/>
          <w:sz w:val="21"/>
          <w:szCs w:val="21"/>
        </w:rPr>
      </w:pPr>
      <w:r w:rsidRPr="00574132">
        <w:rPr>
          <w:rFonts w:ascii="微軟正黑體" w:eastAsia="微軟正黑體" w:hAnsi="微軟正黑體" w:cs="新細明體" w:hint="eastAsia"/>
          <w:b/>
          <w:bCs/>
          <w:kern w:val="0"/>
          <w:sz w:val="21"/>
          <w:szCs w:val="21"/>
        </w:rPr>
        <w:t>95 年 3 月 2 日工學院</w:t>
      </w:r>
      <w:proofErr w:type="gramStart"/>
      <w:r w:rsidRPr="00574132">
        <w:rPr>
          <w:rFonts w:ascii="微軟正黑體" w:eastAsia="微軟正黑體" w:hAnsi="微軟正黑體" w:cs="新細明體" w:hint="eastAsia"/>
          <w:b/>
          <w:bCs/>
          <w:kern w:val="0"/>
          <w:sz w:val="21"/>
          <w:szCs w:val="21"/>
        </w:rPr>
        <w:t>院務</w:t>
      </w:r>
      <w:proofErr w:type="gramEnd"/>
      <w:r w:rsidRPr="00574132">
        <w:rPr>
          <w:rFonts w:ascii="微軟正黑體" w:eastAsia="微軟正黑體" w:hAnsi="微軟正黑體" w:cs="新細明體" w:hint="eastAsia"/>
          <w:b/>
          <w:bCs/>
          <w:kern w:val="0"/>
          <w:sz w:val="21"/>
          <w:szCs w:val="21"/>
        </w:rPr>
        <w:t>會議通過</w:t>
      </w:r>
      <w:r w:rsidRPr="00574132">
        <w:rPr>
          <w:rFonts w:ascii="微軟正黑體" w:eastAsia="微軟正黑體" w:hAnsi="微軟正黑體" w:cs="新細明體" w:hint="eastAsia"/>
          <w:b/>
          <w:bCs/>
          <w:kern w:val="0"/>
          <w:sz w:val="21"/>
          <w:szCs w:val="21"/>
        </w:rPr>
        <w:br/>
        <w:t>95 年 5 月 54 日第 320 次行政會議通過</w:t>
      </w:r>
    </w:p>
    <w:p w14:paraId="305B0F17" w14:textId="77777777" w:rsidR="00574132" w:rsidRPr="00574132" w:rsidRDefault="00574132" w:rsidP="00574132">
      <w:pPr>
        <w:widowControl/>
        <w:spacing w:before="100" w:beforeAutospacing="1" w:after="100" w:afterAutospacing="1"/>
        <w:rPr>
          <w:rFonts w:ascii="微軟正黑體" w:eastAsia="微軟正黑體" w:hAnsi="微軟正黑體" w:cs="新細明體" w:hint="eastAsia"/>
          <w:b/>
          <w:bCs/>
          <w:kern w:val="0"/>
          <w:sz w:val="21"/>
          <w:szCs w:val="21"/>
        </w:rPr>
      </w:pPr>
      <w:r w:rsidRPr="00574132">
        <w:rPr>
          <w:rFonts w:ascii="微軟正黑體" w:eastAsia="微軟正黑體" w:hAnsi="微軟正黑體" w:cs="新細明體" w:hint="eastAsia"/>
          <w:b/>
          <w:bCs/>
          <w:kern w:val="0"/>
          <w:sz w:val="21"/>
          <w:szCs w:val="21"/>
        </w:rPr>
        <w:t>第一條：本細則依據國立中興大學工學院附設工程科技研發中心設置辦法第四條訂定。</w:t>
      </w:r>
      <w:r w:rsidRPr="00574132">
        <w:rPr>
          <w:rFonts w:ascii="微軟正黑體" w:eastAsia="微軟正黑體" w:hAnsi="微軟正黑體" w:cs="新細明體" w:hint="eastAsia"/>
          <w:b/>
          <w:bCs/>
          <w:kern w:val="0"/>
          <w:sz w:val="21"/>
          <w:szCs w:val="21"/>
        </w:rPr>
        <w:br/>
        <w:t>第二條：工程科技研發中心（以下簡稱本中心）之公務，除法令規定外，依本細則辦理。</w:t>
      </w:r>
      <w:r w:rsidRPr="00574132">
        <w:rPr>
          <w:rFonts w:ascii="微軟正黑體" w:eastAsia="微軟正黑體" w:hAnsi="微軟正黑體" w:cs="新細明體" w:hint="eastAsia"/>
          <w:b/>
          <w:bCs/>
          <w:kern w:val="0"/>
          <w:sz w:val="21"/>
          <w:szCs w:val="21"/>
        </w:rPr>
        <w:br/>
        <w:t>第三條：中心主任</w:t>
      </w:r>
      <w:proofErr w:type="gramStart"/>
      <w:r w:rsidRPr="00574132">
        <w:rPr>
          <w:rFonts w:ascii="微軟正黑體" w:eastAsia="微軟正黑體" w:hAnsi="微軟正黑體" w:cs="新細明體" w:hint="eastAsia"/>
          <w:b/>
          <w:bCs/>
          <w:kern w:val="0"/>
          <w:sz w:val="21"/>
          <w:szCs w:val="21"/>
        </w:rPr>
        <w:t>綜</w:t>
      </w:r>
      <w:proofErr w:type="gramEnd"/>
      <w:r w:rsidRPr="00574132">
        <w:rPr>
          <w:rFonts w:ascii="微軟正黑體" w:eastAsia="微軟正黑體" w:hAnsi="微軟正黑體" w:cs="新細明體" w:hint="eastAsia"/>
          <w:b/>
          <w:bCs/>
          <w:kern w:val="0"/>
          <w:sz w:val="21"/>
          <w:szCs w:val="21"/>
        </w:rPr>
        <w:t>理本中心業務，執行教學研究、技術發展及推廣輔導等工作。</w:t>
      </w:r>
      <w:r w:rsidRPr="00574132">
        <w:rPr>
          <w:rFonts w:ascii="微軟正黑體" w:eastAsia="微軟正黑體" w:hAnsi="微軟正黑體" w:cs="新細明體" w:hint="eastAsia"/>
          <w:b/>
          <w:bCs/>
          <w:kern w:val="0"/>
          <w:sz w:val="21"/>
          <w:szCs w:val="21"/>
        </w:rPr>
        <w:br/>
      </w:r>
      <w:r w:rsidRPr="00574132">
        <w:rPr>
          <w:rFonts w:ascii="微軟正黑體" w:eastAsia="微軟正黑體" w:hAnsi="微軟正黑體" w:cs="新細明體" w:hint="eastAsia"/>
          <w:b/>
          <w:bCs/>
          <w:kern w:val="0"/>
          <w:sz w:val="21"/>
          <w:szCs w:val="21"/>
        </w:rPr>
        <w:br/>
        <w:t>第四條：中心主任之權責如下：</w:t>
      </w:r>
      <w:r w:rsidRPr="00574132">
        <w:rPr>
          <w:rFonts w:ascii="微軟正黑體" w:eastAsia="微軟正黑體" w:hAnsi="微軟正黑體" w:cs="新細明體" w:hint="eastAsia"/>
          <w:b/>
          <w:bCs/>
          <w:kern w:val="0"/>
          <w:sz w:val="21"/>
          <w:szCs w:val="21"/>
        </w:rPr>
        <w:br/>
        <w:t>（一）本中心年度工作計畫、經費預算及報告之編擬、陳核。</w:t>
      </w:r>
      <w:r w:rsidRPr="00574132">
        <w:rPr>
          <w:rFonts w:ascii="微軟正黑體" w:eastAsia="微軟正黑體" w:hAnsi="微軟正黑體" w:cs="新細明體" w:hint="eastAsia"/>
          <w:b/>
          <w:bCs/>
          <w:kern w:val="0"/>
          <w:sz w:val="21"/>
          <w:szCs w:val="21"/>
        </w:rPr>
        <w:br/>
        <w:t>（二）本中心重要業務之參與、擬議、陳核。</w:t>
      </w:r>
      <w:r w:rsidRPr="00574132">
        <w:rPr>
          <w:rFonts w:ascii="微軟正黑體" w:eastAsia="微軟正黑體" w:hAnsi="微軟正黑體" w:cs="新細明體" w:hint="eastAsia"/>
          <w:b/>
          <w:bCs/>
          <w:kern w:val="0"/>
          <w:sz w:val="21"/>
          <w:szCs w:val="21"/>
        </w:rPr>
        <w:br/>
        <w:t>（三）本中心公文之簽辦、陳核。</w:t>
      </w:r>
      <w:r w:rsidRPr="00574132">
        <w:rPr>
          <w:rFonts w:ascii="微軟正黑體" w:eastAsia="微軟正黑體" w:hAnsi="微軟正黑體" w:cs="新細明體" w:hint="eastAsia"/>
          <w:b/>
          <w:bCs/>
          <w:kern w:val="0"/>
          <w:sz w:val="21"/>
          <w:szCs w:val="21"/>
        </w:rPr>
        <w:br/>
        <w:t>（四）本中心請購、報銷之審定、轉報。</w:t>
      </w:r>
      <w:r w:rsidRPr="00574132">
        <w:rPr>
          <w:rFonts w:ascii="微軟正黑體" w:eastAsia="微軟正黑體" w:hAnsi="微軟正黑體" w:cs="新細明體" w:hint="eastAsia"/>
          <w:b/>
          <w:bCs/>
          <w:kern w:val="0"/>
          <w:sz w:val="21"/>
          <w:szCs w:val="21"/>
        </w:rPr>
        <w:br/>
        <w:t>（五）本中心所屬人員任免、差假、考核、獎懲、退休之擬議、陳核。</w:t>
      </w:r>
      <w:r w:rsidRPr="00574132">
        <w:rPr>
          <w:rFonts w:ascii="微軟正黑體" w:eastAsia="微軟正黑體" w:hAnsi="微軟正黑體" w:cs="新細明體" w:hint="eastAsia"/>
          <w:b/>
          <w:bCs/>
          <w:kern w:val="0"/>
          <w:sz w:val="21"/>
          <w:szCs w:val="21"/>
        </w:rPr>
        <w:br/>
        <w:t>（六）校內外有關本中心業務之聯繫、協調。</w:t>
      </w:r>
    </w:p>
    <w:p w14:paraId="3BDC2C00" w14:textId="305EC018" w:rsidR="00EF2884" w:rsidRDefault="00574132" w:rsidP="00574132">
      <w:r w:rsidRPr="00574132">
        <w:rPr>
          <w:rFonts w:ascii="微軟正黑體" w:eastAsia="微軟正黑體" w:hAnsi="微軟正黑體" w:cs="新細明體" w:hint="eastAsia"/>
          <w:b/>
          <w:bCs/>
          <w:kern w:val="0"/>
          <w:sz w:val="21"/>
          <w:szCs w:val="21"/>
        </w:rPr>
        <w:t>第五條：本中心員工應遵守本校所規定之各項服務原則。</w:t>
      </w:r>
      <w:r w:rsidRPr="00574132">
        <w:rPr>
          <w:rFonts w:ascii="微軟正黑體" w:eastAsia="微軟正黑體" w:hAnsi="微軟正黑體" w:cs="新細明體" w:hint="eastAsia"/>
          <w:b/>
          <w:bCs/>
          <w:kern w:val="0"/>
          <w:sz w:val="21"/>
          <w:szCs w:val="21"/>
        </w:rPr>
        <w:br/>
        <w:t>第六條：本中心業務會報由主任召集相關人員參加。</w:t>
      </w:r>
      <w:r w:rsidRPr="00574132">
        <w:rPr>
          <w:rFonts w:ascii="微軟正黑體" w:eastAsia="微軟正黑體" w:hAnsi="微軟正黑體" w:cs="新細明體" w:hint="eastAsia"/>
          <w:b/>
          <w:bCs/>
          <w:kern w:val="0"/>
          <w:sz w:val="21"/>
          <w:szCs w:val="21"/>
        </w:rPr>
        <w:br/>
        <w:t>第七條：本細則經工學院院</w:t>
      </w:r>
      <w:proofErr w:type="gramStart"/>
      <w:r w:rsidRPr="00574132">
        <w:rPr>
          <w:rFonts w:ascii="微軟正黑體" w:eastAsia="微軟正黑體" w:hAnsi="微軟正黑體" w:cs="新細明體" w:hint="eastAsia"/>
          <w:b/>
          <w:bCs/>
          <w:kern w:val="0"/>
          <w:sz w:val="21"/>
          <w:szCs w:val="21"/>
        </w:rPr>
        <w:t>務</w:t>
      </w:r>
      <w:proofErr w:type="gramEnd"/>
      <w:r w:rsidRPr="00574132">
        <w:rPr>
          <w:rFonts w:ascii="微軟正黑體" w:eastAsia="微軟正黑體" w:hAnsi="微軟正黑體" w:cs="新細明體" w:hint="eastAsia"/>
          <w:b/>
          <w:bCs/>
          <w:kern w:val="0"/>
          <w:sz w:val="21"/>
          <w:szCs w:val="21"/>
        </w:rPr>
        <w:t>會議通過，並報請本校行政會議核備後實施，修正時亦同。</w:t>
      </w:r>
    </w:p>
    <w:sectPr w:rsidR="00EF28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32"/>
    <w:rsid w:val="00574132"/>
    <w:rsid w:val="00EF28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8BE3"/>
  <w15:chartTrackingRefBased/>
  <w15:docId w15:val="{B7780DEE-7166-4665-9DC2-441F64BE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413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hung</dc:creator>
  <cp:keywords/>
  <dc:description/>
  <cp:lastModifiedBy>nicole hung</cp:lastModifiedBy>
  <cp:revision>1</cp:revision>
  <dcterms:created xsi:type="dcterms:W3CDTF">2020-09-04T02:45:00Z</dcterms:created>
  <dcterms:modified xsi:type="dcterms:W3CDTF">2020-09-04T02:45:00Z</dcterms:modified>
</cp:coreProperties>
</file>